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1打卷页面需要有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染厂原缸号，染厂原码输入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显示不合格米数，合格米数   次品</w:t>
      </w:r>
      <w:bookmarkStart w:id="0" w:name="_GoBack"/>
      <w:bookmarkEnd w:id="0"/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再加一个和出纸一样格式的打钩的选项， 套袋   不套袋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2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NhOGFmYjJjZTA1YjUwY2YxODhkM2RlNDdhN2ViMzYifQ=="/>
    <w:docVar w:name="KSO_WPS_MARK_KEY" w:val="49e9466e-89a1-4b2f-9d4b-7d436c29ef8e"/>
  </w:docVars>
  <w:rsids>
    <w:rsidRoot w:val="00000000"/>
    <w:rsid w:val="67A75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2023-03-22T08:36:40Z</dcterms:created>
  <dc:creator>My</dc:creator>
  <cp:lastModifiedBy>My</cp:lastModifiedBy>
  <dcterms:modified xsi:type="dcterms:W3CDTF">2023-03-22T08:41:14Z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8B96F02C6D9B44E987E300BAC052775C</vt:lpwstr>
  </property>
</Properties>
</file>